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8473" w14:textId="77777777" w:rsidR="006F5807" w:rsidRPr="006F5807" w:rsidRDefault="006F5807" w:rsidP="006F5807">
      <w:pPr>
        <w:spacing w:after="24" w:line="259" w:lineRule="auto"/>
        <w:ind w:left="0" w:firstLine="0"/>
        <w:jc w:val="center"/>
        <w:rPr>
          <w:lang w:val="en-US"/>
        </w:rPr>
      </w:pPr>
      <w:r w:rsidRPr="006F5807">
        <w:rPr>
          <w:lang w:val="en-US"/>
        </w:rPr>
        <w:t>CIRCULAIRE 12 – Documents finaux de la 18e Conférence régionale de l'AMGE Europe</w:t>
      </w:r>
    </w:p>
    <w:p w14:paraId="5A18BB9A" w14:textId="77777777" w:rsidR="003538E3" w:rsidRDefault="00000000">
      <w:pPr>
        <w:spacing w:after="24" w:line="259" w:lineRule="auto"/>
        <w:ind w:left="0" w:firstLine="0"/>
      </w:pPr>
      <w:r>
        <w:rPr>
          <w:color w:val="000000"/>
        </w:rPr>
        <w:t xml:space="preserve">   </w:t>
      </w:r>
      <w:r>
        <w:rPr>
          <w:rFonts w:cs="Aptos"/>
          <w:color w:val="000000"/>
        </w:rPr>
        <w:t xml:space="preserve"> </w:t>
      </w:r>
    </w:p>
    <w:p w14:paraId="5ED5A925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lang w:val="en-US"/>
        </w:rPr>
        <w:t>Chères amies, chers amis,</w:t>
      </w:r>
    </w:p>
    <w:p w14:paraId="45C6CD21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lang w:val="en-US"/>
        </w:rPr>
        <w:t> </w:t>
      </w:r>
    </w:p>
    <w:p w14:paraId="76B838E9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lang w:val="en-US"/>
        </w:rPr>
        <w:t>À seulement deux mois de la 18e Conférence régionale européenne de l'AMGE, nous avons le plaisir de vous partager les documents finaux de la conférence afin d'aider votre délégation à se préparer et à participer.</w:t>
      </w:r>
    </w:p>
    <w:p w14:paraId="146C3F41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lang w:val="en-US"/>
        </w:rPr>
        <w:t>Veuillez lire attentivement les documents ci-dessous et vous assurer que tous les membres de votre délégation en comprennent le contenu avant le début de la Conférence régionale.</w:t>
      </w:r>
    </w:p>
    <w:p w14:paraId="17C356CA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lang w:val="en-US"/>
        </w:rPr>
        <w:t xml:space="preserve">Si vous avez des questions, n'hésitez pas à nous contacter à l'adresse </w:t>
      </w:r>
      <w:r w:rsidRPr="006F5807">
        <w:rPr>
          <w:b/>
          <w:bCs/>
          <w:lang w:val="en-US"/>
        </w:rPr>
        <w:t>Europe.ReCo@wagggs.org</w:t>
      </w:r>
      <w:r w:rsidRPr="006F5807">
        <w:rPr>
          <w:lang w:val="en-US"/>
        </w:rPr>
        <w:t>.</w:t>
      </w:r>
    </w:p>
    <w:p w14:paraId="3BE5435F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lang w:val="en-US"/>
        </w:rPr>
        <w:t> </w:t>
      </w:r>
    </w:p>
    <w:p w14:paraId="655671FF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b/>
          <w:bCs/>
          <w:lang w:val="en-US"/>
        </w:rPr>
        <w:t>Documents finaux de la Conférence </w:t>
      </w:r>
    </w:p>
    <w:p w14:paraId="40601F59" w14:textId="77777777" w:rsidR="006F5807" w:rsidRPr="006F5807" w:rsidRDefault="006F5807" w:rsidP="006F5807">
      <w:pPr>
        <w:numPr>
          <w:ilvl w:val="0"/>
          <w:numId w:val="1"/>
        </w:numPr>
        <w:rPr>
          <w:lang w:val="en-US"/>
        </w:rPr>
      </w:pPr>
      <w:r w:rsidRPr="006F5807">
        <w:rPr>
          <w:lang w:val="en-US"/>
        </w:rPr>
        <w:t xml:space="preserve">5D </w:t>
      </w:r>
      <w:hyperlink r:id="rId5" w:history="1">
        <w:r w:rsidRPr="006F5807">
          <w:rPr>
            <w:rStyle w:val="Hyperlink"/>
            <w:lang w:val="en-US"/>
          </w:rPr>
          <w:t>- Le Plan d’action régional triennal 2026-2028</w:t>
        </w:r>
      </w:hyperlink>
    </w:p>
    <w:p w14:paraId="429F7FC2" w14:textId="77777777" w:rsidR="006F5807" w:rsidRPr="006F5807" w:rsidRDefault="006F5807" w:rsidP="006F5807">
      <w:pPr>
        <w:numPr>
          <w:ilvl w:val="0"/>
          <w:numId w:val="1"/>
        </w:numPr>
        <w:rPr>
          <w:lang w:val="en-US"/>
        </w:rPr>
      </w:pPr>
      <w:r w:rsidRPr="006F5807">
        <w:rPr>
          <w:lang w:val="en-US"/>
        </w:rPr>
        <w:t xml:space="preserve">6C </w:t>
      </w:r>
      <w:hyperlink r:id="rId6" w:history="1">
        <w:r w:rsidRPr="006F5807">
          <w:rPr>
            <w:rStyle w:val="Hyperlink"/>
            <w:lang w:val="en-US"/>
          </w:rPr>
          <w:t>- Proposition de Contribution Européenne</w:t>
        </w:r>
      </w:hyperlink>
    </w:p>
    <w:p w14:paraId="7BF51AED" w14:textId="77777777" w:rsidR="006F5807" w:rsidRPr="006F5807" w:rsidRDefault="006F5807" w:rsidP="006F5807">
      <w:pPr>
        <w:numPr>
          <w:ilvl w:val="0"/>
          <w:numId w:val="1"/>
        </w:numPr>
        <w:rPr>
          <w:lang w:val="en-US"/>
        </w:rPr>
      </w:pPr>
      <w:r w:rsidRPr="006F5807">
        <w:rPr>
          <w:lang w:val="en-US"/>
        </w:rPr>
        <w:t xml:space="preserve">7C - </w:t>
      </w:r>
      <w:hyperlink r:id="rId7" w:history="1">
        <w:r w:rsidRPr="006F5807">
          <w:rPr>
            <w:rStyle w:val="Hyperlink"/>
            <w:lang w:val="en-US"/>
          </w:rPr>
          <w:t>Propositions de motion</w:t>
        </w:r>
      </w:hyperlink>
    </w:p>
    <w:p w14:paraId="0516F40E" w14:textId="77777777" w:rsidR="006F5807" w:rsidRPr="006F5807" w:rsidRDefault="006F5807" w:rsidP="006F5807">
      <w:pPr>
        <w:numPr>
          <w:ilvl w:val="0"/>
          <w:numId w:val="1"/>
        </w:numPr>
        <w:rPr>
          <w:lang w:val="en-US"/>
        </w:rPr>
      </w:pPr>
      <w:r w:rsidRPr="006F5807">
        <w:rPr>
          <w:lang w:val="en-US"/>
        </w:rPr>
        <w:t xml:space="preserve">11B - </w:t>
      </w:r>
      <w:hyperlink r:id="rId8" w:history="1">
        <w:r w:rsidRPr="006F5807">
          <w:rPr>
            <w:rStyle w:val="Hyperlink"/>
            <w:lang w:val="en-US"/>
          </w:rPr>
          <w:t>Livret D’Election</w:t>
        </w:r>
      </w:hyperlink>
    </w:p>
    <w:p w14:paraId="5C9D7D99" w14:textId="77777777" w:rsidR="006F5807" w:rsidRPr="006F5807" w:rsidRDefault="006F5807" w:rsidP="006F5807">
      <w:pPr>
        <w:numPr>
          <w:ilvl w:val="0"/>
          <w:numId w:val="1"/>
        </w:numPr>
        <w:rPr>
          <w:lang w:val="en-US"/>
        </w:rPr>
      </w:pPr>
      <w:r w:rsidRPr="006F5807">
        <w:rPr>
          <w:lang w:val="en-US"/>
        </w:rPr>
        <w:t xml:space="preserve">12 - </w:t>
      </w:r>
      <w:hyperlink r:id="rId9" w:history="1">
        <w:r w:rsidRPr="006F5807">
          <w:rPr>
            <w:rStyle w:val="Hyperlink"/>
            <w:lang w:val="en-US"/>
          </w:rPr>
          <w:t>Rapport triennal 2023 – 2025</w:t>
        </w:r>
      </w:hyperlink>
    </w:p>
    <w:p w14:paraId="20E83F7C" w14:textId="77777777" w:rsidR="006F5807" w:rsidRPr="006F5807" w:rsidRDefault="006F5807" w:rsidP="006F5807">
      <w:pPr>
        <w:ind w:left="-5"/>
        <w:rPr>
          <w:lang w:val="en-US"/>
        </w:rPr>
      </w:pPr>
      <w:r w:rsidRPr="006F5807">
        <w:rPr>
          <w:lang w:val="en-US"/>
        </w:rPr>
        <w:t>Vous pouvez également accéder à tous les documents de la conférence sur le site web de la conférence (</w:t>
      </w:r>
      <w:hyperlink r:id="rId10" w:history="1">
        <w:r w:rsidRPr="006F5807">
          <w:rPr>
            <w:rStyle w:val="Hyperlink"/>
            <w:lang w:val="en-US"/>
          </w:rPr>
          <w:t>https://europeanconference.weconnect.eu.com/wagggs-conference-documents/</w:t>
        </w:r>
      </w:hyperlink>
      <w:r w:rsidRPr="006F5807">
        <w:rPr>
          <w:lang w:val="en-US"/>
        </w:rPr>
        <w:t>). Nous vous encourageons à partager ces documents en interne avec votre délégation. Votre préparation et votre collaboration sont essentielles pour garantir une conférence inclusive et productive.</w:t>
      </w:r>
    </w:p>
    <w:p w14:paraId="0C812F75" w14:textId="68C814DF" w:rsidR="003538E3" w:rsidRDefault="00000000">
      <w:pPr>
        <w:ind w:left="-5"/>
      </w:pPr>
      <w:r>
        <w:rPr>
          <w:rFonts w:ascii="Arial" w:eastAsia="Arial" w:hAnsi="Arial" w:cs="Arial"/>
        </w:rPr>
        <w:t> </w:t>
      </w:r>
      <w:r>
        <w:rPr>
          <w:rFonts w:cs="Aptos"/>
        </w:rPr>
        <w:t xml:space="preserve">  </w:t>
      </w:r>
    </w:p>
    <w:p w14:paraId="53065E90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6063AF9E" w14:textId="77777777" w:rsidR="006F5807" w:rsidRPr="006F5807" w:rsidRDefault="006F5807" w:rsidP="006F5807">
      <w:pPr>
        <w:spacing w:after="44" w:line="259" w:lineRule="auto"/>
        <w:ind w:left="0" w:firstLine="0"/>
        <w:rPr>
          <w:lang w:val="en-US"/>
        </w:rPr>
      </w:pPr>
      <w:r w:rsidRPr="006F5807">
        <w:rPr>
          <w:b/>
          <w:bCs/>
          <w:lang w:val="en-US"/>
        </w:rPr>
        <w:t>“Sessions À la rencontre des candidates”</w:t>
      </w:r>
    </w:p>
    <w:p w14:paraId="6B5530A4" w14:textId="77777777" w:rsidR="006F5807" w:rsidRPr="006F5807" w:rsidRDefault="006F5807" w:rsidP="006F5807">
      <w:pPr>
        <w:spacing w:after="44" w:line="259" w:lineRule="auto"/>
        <w:ind w:left="0" w:firstLine="0"/>
        <w:rPr>
          <w:lang w:val="en-US"/>
        </w:rPr>
      </w:pPr>
      <w:r w:rsidRPr="006F5807">
        <w:rPr>
          <w:lang w:val="en-US"/>
        </w:rPr>
        <w:t> </w:t>
      </w:r>
    </w:p>
    <w:p w14:paraId="3E37E12A" w14:textId="77777777" w:rsidR="006F5807" w:rsidRPr="006F5807" w:rsidRDefault="006F5807" w:rsidP="006F5807">
      <w:pPr>
        <w:spacing w:after="44" w:line="259" w:lineRule="auto"/>
        <w:ind w:left="0" w:firstLine="0"/>
        <w:rPr>
          <w:lang w:val="en-US"/>
        </w:rPr>
      </w:pPr>
      <w:r w:rsidRPr="006F5807">
        <w:rPr>
          <w:lang w:val="en-US"/>
        </w:rPr>
        <w:t>Avant la Conférence régionale, le Comité des nominations organisera deux sessions en ligne « À la rencontre des candidates » afin de permettre aux Organisations membres de mieux connaître les candidates au Comité régional et de leur poser des questions. Chaque session présentera quatre candidates comme indiqué ci-dessous. </w:t>
      </w:r>
    </w:p>
    <w:p w14:paraId="00C5DD28" w14:textId="77777777" w:rsidR="006F5807" w:rsidRPr="006F5807" w:rsidRDefault="006F5807" w:rsidP="006F5807">
      <w:pPr>
        <w:spacing w:after="44" w:line="259" w:lineRule="auto"/>
        <w:ind w:left="0" w:firstLine="0"/>
        <w:rPr>
          <w:lang w:val="en-US"/>
        </w:rPr>
      </w:pPr>
      <w:r w:rsidRPr="006F5807">
        <w:rPr>
          <w:lang w:val="en-US"/>
        </w:rPr>
        <w:t> </w:t>
      </w:r>
    </w:p>
    <w:p w14:paraId="41C1F34A" w14:textId="77777777" w:rsidR="006F5807" w:rsidRPr="006F5807" w:rsidRDefault="006F5807" w:rsidP="006F5807">
      <w:pPr>
        <w:spacing w:after="44" w:line="259" w:lineRule="auto"/>
        <w:ind w:left="0" w:firstLine="0"/>
        <w:rPr>
          <w:lang w:val="en-US"/>
        </w:rPr>
      </w:pPr>
      <w:r w:rsidRPr="006F5807">
        <w:rPr>
          <w:b/>
          <w:bCs/>
          <w:lang w:val="en-US"/>
        </w:rPr>
        <w:t>À la rencontre des candidates – Session 1:</w:t>
      </w:r>
      <w:r w:rsidRPr="006F5807">
        <w:rPr>
          <w:lang w:val="en-US"/>
        </w:rPr>
        <w:t> Lundi 2 Juin à 171h UTC</w:t>
      </w:r>
      <w:r w:rsidRPr="006F5807">
        <w:rPr>
          <w:lang w:val="en-US"/>
        </w:rPr>
        <w:br/>
      </w:r>
      <w:r w:rsidRPr="006F5807">
        <w:rPr>
          <w:i/>
          <w:iCs/>
          <w:lang w:val="en-US"/>
        </w:rPr>
        <w:t>Jeanelle Camilleri, Ronja Kok, Koraline Van Dijk and Kety Zhvania-Tyson</w:t>
      </w:r>
      <w:r w:rsidRPr="006F5807">
        <w:rPr>
          <w:lang w:val="en-US"/>
        </w:rPr>
        <w:br/>
      </w:r>
      <w:hyperlink r:id="rId11" w:history="1">
        <w:r w:rsidRPr="006F5807">
          <w:rPr>
            <w:rStyle w:val="Hyperlink"/>
            <w:lang w:val="en-US"/>
          </w:rPr>
          <w:t>Cliquez ici pour vous inscrire à la session 1</w:t>
        </w:r>
      </w:hyperlink>
    </w:p>
    <w:p w14:paraId="489F3AB8" w14:textId="77777777" w:rsidR="006F5807" w:rsidRPr="006F5807" w:rsidRDefault="006F5807" w:rsidP="006F5807">
      <w:pPr>
        <w:spacing w:after="44" w:line="259" w:lineRule="auto"/>
        <w:ind w:left="0" w:firstLine="0"/>
        <w:rPr>
          <w:lang w:val="en-US"/>
        </w:rPr>
      </w:pPr>
      <w:r w:rsidRPr="006F5807">
        <w:rPr>
          <w:lang w:val="en-US"/>
        </w:rPr>
        <w:t> </w:t>
      </w:r>
    </w:p>
    <w:p w14:paraId="1F9C8C2C" w14:textId="77777777" w:rsidR="006F5807" w:rsidRPr="006F5807" w:rsidRDefault="006F5807" w:rsidP="006F5807">
      <w:pPr>
        <w:spacing w:after="44" w:line="259" w:lineRule="auto"/>
        <w:ind w:left="0" w:firstLine="0"/>
        <w:rPr>
          <w:lang w:val="en-US"/>
        </w:rPr>
      </w:pPr>
      <w:r w:rsidRPr="006F5807">
        <w:rPr>
          <w:b/>
          <w:bCs/>
          <w:lang w:val="en-US"/>
        </w:rPr>
        <w:lastRenderedPageBreak/>
        <w:t>À la rencontre des candidates – Session 2 : </w:t>
      </w:r>
      <w:r w:rsidRPr="006F5807">
        <w:rPr>
          <w:lang w:val="en-US"/>
        </w:rPr>
        <w:t>Mardi 10 Juin à 171h UTC</w:t>
      </w:r>
      <w:r w:rsidRPr="006F5807">
        <w:rPr>
          <w:lang w:val="en-US"/>
        </w:rPr>
        <w:br/>
      </w:r>
      <w:r w:rsidRPr="006F5807">
        <w:rPr>
          <w:i/>
          <w:iCs/>
          <w:lang w:val="en-US"/>
        </w:rPr>
        <w:t>Caroline Brown, Maëlle Chapuis-Mirol, Signe Gertz Jensen and Olivia Solman</w:t>
      </w:r>
      <w:r w:rsidRPr="006F5807">
        <w:rPr>
          <w:lang w:val="en-US"/>
        </w:rPr>
        <w:br/>
      </w:r>
      <w:hyperlink r:id="rId12" w:history="1">
        <w:r w:rsidRPr="006F5807">
          <w:rPr>
            <w:rStyle w:val="Hyperlink"/>
            <w:lang w:val="en-US"/>
          </w:rPr>
          <w:t>Cliquez ici pour vous inscrire à la session 2</w:t>
        </w:r>
      </w:hyperlink>
    </w:p>
    <w:p w14:paraId="18E3C3FE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74E2AEC1" w14:textId="77777777" w:rsidR="003538E3" w:rsidRDefault="00000000">
      <w:pPr>
        <w:spacing w:after="44" w:line="259" w:lineRule="auto"/>
        <w:ind w:left="0" w:firstLine="0"/>
      </w:pPr>
      <w:r>
        <w:rPr>
          <w:rFonts w:cs="Aptos"/>
        </w:rPr>
        <w:t xml:space="preserve"> </w:t>
      </w:r>
    </w:p>
    <w:p w14:paraId="697934F7" w14:textId="77777777" w:rsidR="006F5807" w:rsidRPr="006F5807" w:rsidRDefault="006F5807" w:rsidP="006F5807">
      <w:pPr>
        <w:spacing w:after="0" w:line="259" w:lineRule="auto"/>
        <w:ind w:left="0" w:firstLine="0"/>
        <w:rPr>
          <w:lang w:val="en-US"/>
        </w:rPr>
      </w:pPr>
      <w:r w:rsidRPr="006F5807">
        <w:rPr>
          <w:lang w:val="en-US"/>
        </w:rPr>
        <w:t>Nous nous réjouissons de vous accueillir prochainement. </w:t>
      </w:r>
    </w:p>
    <w:p w14:paraId="69F1E7C8" w14:textId="77777777" w:rsidR="006F5807" w:rsidRPr="006F5807" w:rsidRDefault="006F5807" w:rsidP="006F5807">
      <w:pPr>
        <w:spacing w:after="0" w:line="259" w:lineRule="auto"/>
        <w:ind w:left="0" w:firstLine="0"/>
        <w:rPr>
          <w:lang w:val="en-US"/>
        </w:rPr>
      </w:pPr>
      <w:r w:rsidRPr="006F5807">
        <w:rPr>
          <w:lang w:val="en-US"/>
        </w:rPr>
        <w:t>Avec nos sincères salutations,</w:t>
      </w:r>
    </w:p>
    <w:p w14:paraId="0055CDC2" w14:textId="77777777" w:rsidR="006F5807" w:rsidRPr="006F5807" w:rsidRDefault="006F5807" w:rsidP="006F5807">
      <w:pPr>
        <w:spacing w:after="0" w:line="259" w:lineRule="auto"/>
        <w:ind w:left="0" w:firstLine="0"/>
        <w:rPr>
          <w:lang w:val="en-US"/>
        </w:rPr>
      </w:pPr>
      <w:r w:rsidRPr="006F5807">
        <w:rPr>
          <w:b/>
          <w:bCs/>
          <w:lang w:val="en-US"/>
        </w:rPr>
        <w:t>Région Europe de l'AMGE</w:t>
      </w:r>
    </w:p>
    <w:p w14:paraId="76C346BE" w14:textId="77777777" w:rsidR="006F5807" w:rsidRPr="006F5807" w:rsidRDefault="006F5807" w:rsidP="006F5807">
      <w:pPr>
        <w:spacing w:after="0" w:line="259" w:lineRule="auto"/>
        <w:ind w:left="0" w:firstLine="0"/>
        <w:rPr>
          <w:lang w:val="en-US"/>
        </w:rPr>
      </w:pPr>
      <w:r w:rsidRPr="006F5807">
        <w:rPr>
          <w:b/>
          <w:bCs/>
          <w:lang w:val="en-US"/>
        </w:rPr>
        <w:t>Le 17 Mai 2025</w:t>
      </w:r>
    </w:p>
    <w:p w14:paraId="499EEEDC" w14:textId="77777777" w:rsidR="003538E3" w:rsidRDefault="00000000">
      <w:pPr>
        <w:spacing w:after="0" w:line="259" w:lineRule="auto"/>
        <w:ind w:left="0" w:firstLine="0"/>
      </w:pPr>
      <w:r>
        <w:rPr>
          <w:rFonts w:cs="Aptos"/>
        </w:rPr>
        <w:t xml:space="preserve"> </w:t>
      </w:r>
    </w:p>
    <w:sectPr w:rsidR="003538E3">
      <w:pgSz w:w="12240" w:h="15840"/>
      <w:pgMar w:top="1440" w:right="1466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27590"/>
    <w:multiLevelType w:val="multilevel"/>
    <w:tmpl w:val="E586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12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E3"/>
    <w:rsid w:val="003538E3"/>
    <w:rsid w:val="003D7666"/>
    <w:rsid w:val="006F5807"/>
    <w:rsid w:val="00D4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7BC9C"/>
  <w15:docId w15:val="{98B8C963-9841-674E-850B-4E7611F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69" w:lineRule="auto"/>
      <w:ind w:left="35" w:hanging="10"/>
    </w:pPr>
    <w:rPr>
      <w:rFonts w:ascii="Aptos" w:eastAsia="Aptos" w:hAnsi="Aptos" w:cs="Times New Roman"/>
      <w:color w:val="002060"/>
      <w:lang w:val="en" w:eastAsia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conference.weconnect.eu.com/wp-content/uploads/FR-EU-Election-Bookle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eanconference.weconnect.eu.com/wp-content/uploads/Doc-7C-EU-FR-Proposed-Motions-document.pdf" TargetMode="External"/><Relationship Id="rId12" Type="http://schemas.openxmlformats.org/officeDocument/2006/relationships/hyperlink" Target="https://gbr01.safelinks.protection.outlook.com/?url=https%3A%2F%2Fzoom.us%2Fmeeting%2Fregister%2Fsp-mwyqiTrmXyHKO4LAATA&amp;data=05%7C02%7CAlhassan.Soltan%40wagggs.org%7C62e06cabf0654ad7821508dd94d0c61c%7Ca5f59c20be6f43a584fa0c63877c1f9a%7C0%7C0%7C638830346571569851%7CUnknown%7CTWFpbGZsb3d8eyJFbXB0eU1hcGkiOnRydWUsIlYiOiIwLjAuMDAwMCIsIlAiOiJXaW4zMiIsIkFOIjoiTWFpbCIsIldUIjoyfQ%3D%3D%7C0%7C%7C%7C&amp;sdata=IH7bKmcajDbTRdGqe5MMz25waJ17UyJTqyqpik%2Bbbr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eanconference.weconnect.eu.com/wp-content/uploads/FINAL-Doc-6c-EC-Proposal-French-16.5.25.pdf" TargetMode="External"/><Relationship Id="rId11" Type="http://schemas.openxmlformats.org/officeDocument/2006/relationships/hyperlink" Target="https://gbr01.safelinks.protection.outlook.com/?url=https%3A%2F%2Fzoom.us%2Fmeeting%2Fregister%2FyJWgXKW1SP6LgFuOxU25fg%23%2Fregistration&amp;data=05%7C02%7CAlhassan.Soltan%40wagggs.org%7C62e06cabf0654ad7821508dd94d0c61c%7Ca5f59c20be6f43a584fa0c63877c1f9a%7C0%7C0%7C638830346571555434%7CUnknown%7CTWFpbGZsb3d8eyJFbXB0eU1hcGkiOnRydWUsIlYiOiIwLjAuMDAwMCIsIlAiOiJXaW4zMiIsIkFOIjoiTWFpbCIsIldUIjoyfQ%3D%3D%7C0%7C%7C%7C&amp;sdata=oXm0qyFXRf4fRFALgKGub6ZtgIG6tLvwpDaRToBmkTg%3D&amp;reserved=0" TargetMode="External"/><Relationship Id="rId5" Type="http://schemas.openxmlformats.org/officeDocument/2006/relationships/hyperlink" Target="https://europeanconference.weconnect.eu.com/wp-content/uploads/Doc-5D-FR-Le-Plan-dAction-regional-triennial-2026-2028-FINAL.pdf" TargetMode="External"/><Relationship Id="rId10" Type="http://schemas.openxmlformats.org/officeDocument/2006/relationships/hyperlink" Target="https://europeanconference.weconnect.eu.com/wagggs-conference-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eanconference.weconnect.eu.com/wp-content/uploads/Doc-12-FR-Triennial-Report-2023-202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 Soltan (Student)</dc:creator>
  <cp:keywords/>
  <cp:lastModifiedBy>Alhassan Soltan (Student)</cp:lastModifiedBy>
  <cp:revision>3</cp:revision>
  <dcterms:created xsi:type="dcterms:W3CDTF">2025-06-27T13:42:00Z</dcterms:created>
  <dcterms:modified xsi:type="dcterms:W3CDTF">2025-06-27T13:55:00Z</dcterms:modified>
</cp:coreProperties>
</file>